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1302" w14:textId="77777777" w:rsidR="00777F5E" w:rsidRDefault="00643130" w:rsidP="00777F5E">
      <w:pPr>
        <w:tabs>
          <w:tab w:val="clear" w:pos="720"/>
          <w:tab w:val="clear" w:pos="1440"/>
          <w:tab w:val="clear" w:pos="2160"/>
          <w:tab w:val="clear" w:pos="2880"/>
          <w:tab w:val="clear" w:pos="3600"/>
          <w:tab w:val="clear" w:pos="4320"/>
          <w:tab w:val="clear" w:pos="5760"/>
          <w:tab w:val="clear" w:pos="6480"/>
        </w:tabs>
        <w:ind w:right="-1109"/>
        <w:rPr>
          <w:szCs w:val="22"/>
          <w:lang w:val="fr-FR"/>
        </w:rPr>
      </w:pPr>
      <w:r>
        <w:rPr>
          <w:lang w:val="fr-CA"/>
        </w:rPr>
        <w:object w:dxaOrig="1440" w:dyaOrig="1440" w14:anchorId="6803F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5pt;margin-top:-45.45pt;width:320.1pt;height:28.05pt;z-index:251663360;mso-wrap-edited:f" wrapcoords="3572 1580 2041 2634 170 7376 170 11590 2381 19493 5272 20020 11055 20020 17008 20020 21260 12117 21600 4215 18709 2107 9524 1580 3572 1580" o:allowincell="f" fillcolor="window">
            <v:imagedata r:id="rId4" o:title=""/>
          </v:shape>
          <o:OLEObject Type="Embed" ProgID="Word.Picture.8" ShapeID="_x0000_s1027" DrawAspect="Content" ObjectID="_1698238523" r:id="rId5"/>
        </w:object>
      </w:r>
      <w:r w:rsidR="00777F5E">
        <w:rPr>
          <w:szCs w:val="22"/>
          <w:lang w:val="fr-FR"/>
        </w:rPr>
        <w:t>CINQUANTE-ET-UNIÈME SESSION ORDINAIRE</w:t>
      </w:r>
      <w:r w:rsidR="00777F5E">
        <w:rPr>
          <w:szCs w:val="22"/>
          <w:lang w:val="fr-FR"/>
        </w:rPr>
        <w:tab/>
        <w:t>OEA/</w:t>
      </w:r>
      <w:proofErr w:type="spellStart"/>
      <w:r w:rsidR="00777F5E">
        <w:rPr>
          <w:szCs w:val="22"/>
          <w:lang w:val="fr-FR"/>
        </w:rPr>
        <w:t>Ser.P</w:t>
      </w:r>
      <w:proofErr w:type="spellEnd"/>
    </w:p>
    <w:p w14:paraId="2ED409F8" w14:textId="110A8F97" w:rsidR="00777F5E" w:rsidRDefault="00777F5E" w:rsidP="00777F5E">
      <w:pPr>
        <w:tabs>
          <w:tab w:val="clear" w:pos="720"/>
          <w:tab w:val="clear" w:pos="1440"/>
          <w:tab w:val="clear" w:pos="2160"/>
          <w:tab w:val="clear" w:pos="2880"/>
          <w:tab w:val="clear" w:pos="3600"/>
          <w:tab w:val="clear" w:pos="4320"/>
          <w:tab w:val="clear" w:pos="5760"/>
          <w:tab w:val="clear" w:pos="6480"/>
        </w:tabs>
        <w:ind w:right="-1109"/>
        <w:rPr>
          <w:szCs w:val="22"/>
          <w:lang w:val="fr-FR"/>
        </w:rPr>
      </w:pPr>
      <w:r>
        <w:rPr>
          <w:szCs w:val="22"/>
          <w:lang w:val="fr-FR"/>
        </w:rPr>
        <w:t>Du 10 au 12 novembre 2021</w:t>
      </w:r>
      <w:r>
        <w:rPr>
          <w:szCs w:val="22"/>
          <w:lang w:val="fr-FR"/>
        </w:rPr>
        <w:tab/>
        <w:t>AG/</w:t>
      </w:r>
      <w:r w:rsidR="00F21E90">
        <w:rPr>
          <w:szCs w:val="22"/>
          <w:lang w:val="fr-FR"/>
        </w:rPr>
        <w:t>INF.743</w:t>
      </w:r>
      <w:r>
        <w:rPr>
          <w:szCs w:val="22"/>
          <w:lang w:val="fr-FR"/>
        </w:rPr>
        <w:t>/21</w:t>
      </w:r>
    </w:p>
    <w:p w14:paraId="178F4B8F" w14:textId="61997AA9" w:rsidR="00777F5E" w:rsidRDefault="00777F5E" w:rsidP="00777F5E">
      <w:pPr>
        <w:tabs>
          <w:tab w:val="clear" w:pos="720"/>
          <w:tab w:val="clear" w:pos="1440"/>
          <w:tab w:val="clear" w:pos="2160"/>
          <w:tab w:val="clear" w:pos="2880"/>
          <w:tab w:val="clear" w:pos="3600"/>
          <w:tab w:val="clear" w:pos="4320"/>
          <w:tab w:val="clear" w:pos="5760"/>
          <w:tab w:val="clear" w:pos="6480"/>
        </w:tabs>
        <w:ind w:right="-1109"/>
        <w:rPr>
          <w:szCs w:val="22"/>
          <w:lang w:val="fr-FR"/>
        </w:rPr>
      </w:pPr>
      <w:r>
        <w:rPr>
          <w:color w:val="0D0C12"/>
          <w:szCs w:val="22"/>
          <w:lang w:val="fr-FR"/>
        </w:rPr>
        <w:t>Guatemala</w:t>
      </w:r>
      <w:r>
        <w:rPr>
          <w:szCs w:val="22"/>
          <w:lang w:val="fr-FR"/>
        </w:rPr>
        <w:t xml:space="preserve">, République du </w:t>
      </w:r>
      <w:r>
        <w:rPr>
          <w:color w:val="0D0C12"/>
          <w:szCs w:val="22"/>
          <w:lang w:val="fr-FR"/>
        </w:rPr>
        <w:t>Guatemala</w:t>
      </w:r>
      <w:r>
        <w:rPr>
          <w:szCs w:val="22"/>
          <w:lang w:val="fr-FR"/>
        </w:rPr>
        <w:tab/>
      </w:r>
      <w:r w:rsidR="00F21E90">
        <w:rPr>
          <w:szCs w:val="22"/>
          <w:lang w:val="fr-FR"/>
        </w:rPr>
        <w:t>12</w:t>
      </w:r>
      <w:r>
        <w:rPr>
          <w:szCs w:val="22"/>
          <w:lang w:val="fr-FR"/>
        </w:rPr>
        <w:t xml:space="preserve"> novembre 2021</w:t>
      </w:r>
    </w:p>
    <w:p w14:paraId="6F5265F8" w14:textId="2DE94010" w:rsidR="00777F5E" w:rsidRDefault="00777F5E" w:rsidP="00777F5E">
      <w:pPr>
        <w:tabs>
          <w:tab w:val="clear" w:pos="720"/>
          <w:tab w:val="clear" w:pos="1440"/>
          <w:tab w:val="clear" w:pos="2160"/>
          <w:tab w:val="clear" w:pos="2880"/>
          <w:tab w:val="clear" w:pos="3600"/>
          <w:tab w:val="clear" w:pos="4320"/>
          <w:tab w:val="clear" w:pos="5760"/>
          <w:tab w:val="clear" w:pos="6480"/>
        </w:tabs>
        <w:ind w:right="-1109"/>
        <w:rPr>
          <w:szCs w:val="22"/>
          <w:lang w:val="fr-FR"/>
        </w:rPr>
      </w:pPr>
      <w:r>
        <w:rPr>
          <w:szCs w:val="22"/>
          <w:lang w:val="fr-FR"/>
        </w:rPr>
        <w:t>VIRTUELLE</w:t>
      </w:r>
      <w:r>
        <w:rPr>
          <w:szCs w:val="22"/>
          <w:lang w:val="fr-FR"/>
        </w:rPr>
        <w:tab/>
      </w:r>
      <w:proofErr w:type="gramStart"/>
      <w:r>
        <w:rPr>
          <w:szCs w:val="22"/>
          <w:lang w:val="fr-FR"/>
        </w:rPr>
        <w:t>Original:</w:t>
      </w:r>
      <w:proofErr w:type="gramEnd"/>
      <w:r>
        <w:rPr>
          <w:szCs w:val="22"/>
          <w:lang w:val="fr-FR"/>
        </w:rPr>
        <w:t xml:space="preserve"> </w:t>
      </w:r>
      <w:r w:rsidR="00DA5C56">
        <w:rPr>
          <w:szCs w:val="22"/>
          <w:lang w:val="fr-FR"/>
        </w:rPr>
        <w:t xml:space="preserve">espagnol </w:t>
      </w:r>
      <w:r>
        <w:rPr>
          <w:szCs w:val="22"/>
          <w:lang w:val="fr-FR"/>
        </w:rPr>
        <w:t xml:space="preserve"> </w:t>
      </w:r>
    </w:p>
    <w:p w14:paraId="471EBDB3" w14:textId="77777777" w:rsidR="00777F5E" w:rsidRDefault="00777F5E" w:rsidP="00777F5E">
      <w:pPr>
        <w:ind w:right="-1109"/>
        <w:rPr>
          <w:szCs w:val="22"/>
          <w:lang w:val="fr-FR"/>
        </w:rPr>
      </w:pPr>
    </w:p>
    <w:p w14:paraId="2D4C9EE6" w14:textId="5E606099" w:rsidR="00DE5F74" w:rsidRPr="002E0971" w:rsidRDefault="00DE5F74" w:rsidP="008B4565">
      <w:pPr>
        <w:tabs>
          <w:tab w:val="center" w:pos="2160"/>
          <w:tab w:val="left" w:pos="7560"/>
        </w:tabs>
        <w:ind w:right="-1109"/>
        <w:rPr>
          <w:szCs w:val="22"/>
          <w:lang w:val="fr-FR"/>
        </w:rPr>
      </w:pPr>
      <w:r w:rsidRPr="002E0971">
        <w:rPr>
          <w:szCs w:val="22"/>
          <w:lang w:val="fr-FR"/>
        </w:rPr>
        <w:tab/>
      </w:r>
      <w:r w:rsidRPr="002E0971">
        <w:rPr>
          <w:szCs w:val="22"/>
          <w:lang w:val="fr-FR"/>
        </w:rPr>
        <w:tab/>
      </w:r>
      <w:r w:rsidRPr="002E0971">
        <w:rPr>
          <w:szCs w:val="22"/>
          <w:lang w:val="fr-FR"/>
        </w:rPr>
        <w:tab/>
      </w:r>
      <w:r w:rsidRPr="002E0971">
        <w:rPr>
          <w:szCs w:val="22"/>
          <w:lang w:val="fr-FR"/>
        </w:rPr>
        <w:tab/>
      </w:r>
      <w:r w:rsidRPr="002E0971">
        <w:rPr>
          <w:szCs w:val="22"/>
          <w:lang w:val="fr-FR"/>
        </w:rPr>
        <w:tab/>
      </w:r>
      <w:r w:rsidRPr="002E0971">
        <w:rPr>
          <w:szCs w:val="22"/>
          <w:lang w:val="fr-FR"/>
        </w:rPr>
        <w:tab/>
      </w:r>
      <w:r w:rsidRPr="002E0971">
        <w:rPr>
          <w:szCs w:val="22"/>
          <w:lang w:val="fr-FR"/>
        </w:rPr>
        <w:tab/>
      </w:r>
      <w:r w:rsidRPr="002E0971">
        <w:rPr>
          <w:szCs w:val="22"/>
          <w:lang w:val="fr-FR"/>
        </w:rPr>
        <w:tab/>
      </w:r>
      <w:r w:rsidRPr="002E0971">
        <w:rPr>
          <w:szCs w:val="22"/>
          <w:lang w:val="fr-FR"/>
        </w:rPr>
        <w:tab/>
      </w:r>
    </w:p>
    <w:p w14:paraId="6F789FA4" w14:textId="77777777" w:rsidR="00DE5F74" w:rsidRPr="002E0971" w:rsidRDefault="00DE5F74" w:rsidP="008B4565">
      <w:pPr>
        <w:widowControl/>
        <w:ind w:right="-929"/>
        <w:jc w:val="left"/>
        <w:rPr>
          <w:szCs w:val="22"/>
          <w:lang w:val="fr-FR"/>
        </w:rPr>
      </w:pPr>
    </w:p>
    <w:p w14:paraId="019143DD" w14:textId="3266AB3E" w:rsidR="00DE5F74" w:rsidRPr="002E0971" w:rsidRDefault="00DE5F74" w:rsidP="008B4565">
      <w:pPr>
        <w:widowControl/>
        <w:ind w:right="-929"/>
        <w:jc w:val="left"/>
        <w:rPr>
          <w:szCs w:val="22"/>
          <w:lang w:val="fr-FR"/>
        </w:rPr>
      </w:pPr>
    </w:p>
    <w:p w14:paraId="27C44550" w14:textId="2FA3D519" w:rsidR="001E384A" w:rsidRPr="002E0971" w:rsidRDefault="001E384A" w:rsidP="008B4565">
      <w:pPr>
        <w:widowControl/>
        <w:ind w:right="-929"/>
        <w:jc w:val="left"/>
        <w:rPr>
          <w:szCs w:val="22"/>
          <w:lang w:val="fr-FR"/>
        </w:rPr>
      </w:pPr>
    </w:p>
    <w:p w14:paraId="3B32DB0D" w14:textId="290A59B1" w:rsidR="001E384A" w:rsidRPr="002E0971" w:rsidRDefault="001E384A" w:rsidP="008B4565">
      <w:pPr>
        <w:widowControl/>
        <w:ind w:right="-929"/>
        <w:jc w:val="left"/>
        <w:rPr>
          <w:szCs w:val="22"/>
          <w:lang w:val="fr-FR"/>
        </w:rPr>
      </w:pPr>
    </w:p>
    <w:p w14:paraId="0D1F9839" w14:textId="101F69AC" w:rsidR="001E384A" w:rsidRPr="002E0971" w:rsidRDefault="001E384A" w:rsidP="008B4565">
      <w:pPr>
        <w:widowControl/>
        <w:ind w:right="-929"/>
        <w:jc w:val="left"/>
        <w:rPr>
          <w:szCs w:val="22"/>
          <w:lang w:val="fr-FR"/>
        </w:rPr>
      </w:pPr>
    </w:p>
    <w:p w14:paraId="2025B059" w14:textId="60EAF709" w:rsidR="001E384A" w:rsidRPr="002E0971" w:rsidRDefault="001E384A" w:rsidP="008B4565">
      <w:pPr>
        <w:widowControl/>
        <w:ind w:right="-929"/>
        <w:jc w:val="left"/>
        <w:rPr>
          <w:szCs w:val="22"/>
          <w:lang w:val="fr-FR"/>
        </w:rPr>
      </w:pPr>
    </w:p>
    <w:p w14:paraId="572F427A" w14:textId="77777777" w:rsidR="001E384A" w:rsidRPr="002E0971" w:rsidRDefault="001E384A" w:rsidP="008B4565">
      <w:pPr>
        <w:widowControl/>
        <w:ind w:right="-929"/>
        <w:jc w:val="center"/>
        <w:rPr>
          <w:szCs w:val="22"/>
          <w:lang w:val="fr-FR"/>
        </w:rPr>
      </w:pPr>
    </w:p>
    <w:p w14:paraId="2AB8FD44" w14:textId="77777777" w:rsidR="001E384A" w:rsidRPr="002E0971" w:rsidRDefault="001E384A" w:rsidP="008B4565">
      <w:pPr>
        <w:widowControl/>
        <w:ind w:right="-929"/>
        <w:jc w:val="center"/>
        <w:rPr>
          <w:szCs w:val="22"/>
          <w:lang w:val="fr-FR"/>
        </w:rPr>
      </w:pPr>
    </w:p>
    <w:p w14:paraId="3C9FA8B7" w14:textId="77777777" w:rsidR="001E384A" w:rsidRPr="002E0971" w:rsidRDefault="001E384A" w:rsidP="008B4565">
      <w:pPr>
        <w:widowControl/>
        <w:ind w:right="-929"/>
        <w:jc w:val="center"/>
        <w:rPr>
          <w:szCs w:val="22"/>
          <w:lang w:val="fr-FR"/>
        </w:rPr>
      </w:pPr>
    </w:p>
    <w:p w14:paraId="42C0DA20" w14:textId="6C5978DA" w:rsidR="001E384A" w:rsidRPr="002E0971" w:rsidRDefault="001E384A" w:rsidP="008B4565">
      <w:pPr>
        <w:widowControl/>
        <w:ind w:right="-929"/>
        <w:jc w:val="center"/>
        <w:rPr>
          <w:szCs w:val="22"/>
          <w:lang w:val="fr-FR"/>
        </w:rPr>
      </w:pPr>
    </w:p>
    <w:p w14:paraId="3F7E3A08" w14:textId="77777777" w:rsidR="008B4565" w:rsidRPr="002E0971" w:rsidRDefault="008B4565" w:rsidP="008B4565">
      <w:pPr>
        <w:widowControl/>
        <w:ind w:right="-929"/>
        <w:jc w:val="center"/>
        <w:rPr>
          <w:szCs w:val="22"/>
          <w:lang w:val="fr-FR"/>
        </w:rPr>
      </w:pPr>
    </w:p>
    <w:p w14:paraId="049C9C37" w14:textId="0721A793" w:rsidR="001E384A" w:rsidRPr="002E0971" w:rsidRDefault="001E384A" w:rsidP="008B4565">
      <w:pPr>
        <w:widowControl/>
        <w:ind w:right="-929"/>
        <w:jc w:val="center"/>
        <w:rPr>
          <w:szCs w:val="22"/>
          <w:lang w:val="fr-FR"/>
        </w:rPr>
      </w:pPr>
    </w:p>
    <w:p w14:paraId="312671B8" w14:textId="77777777" w:rsidR="001E384A" w:rsidRPr="002E0971" w:rsidRDefault="001E384A" w:rsidP="008B4565">
      <w:pPr>
        <w:widowControl/>
        <w:ind w:right="-929"/>
        <w:jc w:val="center"/>
        <w:rPr>
          <w:szCs w:val="22"/>
          <w:lang w:val="fr-FR"/>
        </w:rPr>
      </w:pPr>
    </w:p>
    <w:p w14:paraId="0073D59F" w14:textId="77777777" w:rsidR="001E384A" w:rsidRPr="00F21E90" w:rsidRDefault="001E384A" w:rsidP="00F21E90">
      <w:pPr>
        <w:widowControl/>
        <w:ind w:right="-929"/>
        <w:jc w:val="center"/>
        <w:rPr>
          <w:szCs w:val="22"/>
          <w:lang w:val="fr-FR"/>
        </w:rPr>
      </w:pPr>
    </w:p>
    <w:p w14:paraId="1E0E6EFC" w14:textId="50434690" w:rsidR="00F21E90" w:rsidRPr="00F21E90" w:rsidRDefault="00F21E90" w:rsidP="00F21E90">
      <w:pPr>
        <w:jc w:val="center"/>
        <w:rPr>
          <w:lang w:val="fr-FR" w:eastAsia="en-US"/>
        </w:rPr>
      </w:pPr>
      <w:r w:rsidRPr="00F21E90">
        <w:rPr>
          <w:lang w:val="fr-FR"/>
        </w:rPr>
        <w:t>NOTE DE LA MISSION PERMANENTE DU MEXIQUE CONCERNANT L’INSCRIPTION D’UNE NOTE DE BAS DE PAGE DANS LES DOCUMENTS DE LA CINQUANTE-ET-UNIÈME SESSION ORDINAIRE DE L'ASSEMBLÉE GÉNÉRALE DE L'OEA</w:t>
      </w:r>
    </w:p>
    <w:p w14:paraId="2AC48587" w14:textId="77777777" w:rsidR="00F21E90" w:rsidRDefault="00F21E90" w:rsidP="00F21E90">
      <w:pPr>
        <w:rPr>
          <w:lang w:val="fr-FR"/>
        </w:rPr>
      </w:pPr>
    </w:p>
    <w:p w14:paraId="03131973" w14:textId="62562676" w:rsidR="001827A3" w:rsidRPr="002E0971" w:rsidRDefault="001827A3" w:rsidP="00C4374B">
      <w:pPr>
        <w:widowControl/>
        <w:ind w:right="-29"/>
        <w:jc w:val="center"/>
        <w:rPr>
          <w:szCs w:val="22"/>
          <w:lang w:val="fr-FR"/>
        </w:rPr>
      </w:pPr>
    </w:p>
    <w:p w14:paraId="41071073" w14:textId="470EDF53" w:rsidR="001E384A" w:rsidRPr="002E0971" w:rsidRDefault="001E384A" w:rsidP="008B4565">
      <w:pPr>
        <w:widowControl/>
        <w:ind w:right="-929"/>
        <w:jc w:val="center"/>
        <w:rPr>
          <w:szCs w:val="22"/>
          <w:lang w:val="fr-FR"/>
        </w:rPr>
      </w:pPr>
    </w:p>
    <w:p w14:paraId="710AD6A7" w14:textId="77777777" w:rsidR="001E384A" w:rsidRPr="002E0971" w:rsidRDefault="001E384A" w:rsidP="008B4565">
      <w:pPr>
        <w:widowControl/>
        <w:ind w:right="-929"/>
        <w:jc w:val="center"/>
        <w:rPr>
          <w:szCs w:val="22"/>
          <w:lang w:val="fr-FR"/>
        </w:rPr>
        <w:sectPr w:rsidR="001E384A" w:rsidRPr="002E0971" w:rsidSect="00DE5F74">
          <w:pgSz w:w="12240" w:h="15840" w:code="1"/>
          <w:pgMar w:top="2160" w:right="1570" w:bottom="1296" w:left="1699" w:header="720" w:footer="720" w:gutter="0"/>
          <w:cols w:space="720"/>
          <w:docGrid w:linePitch="360"/>
        </w:sectPr>
      </w:pPr>
    </w:p>
    <w:p w14:paraId="1E565941" w14:textId="77777777" w:rsidR="00F21E90" w:rsidRDefault="00F21E90" w:rsidP="00F21E90">
      <w:pPr>
        <w:jc w:val="center"/>
        <w:rPr>
          <w:b/>
          <w:bCs/>
          <w:i/>
          <w:iCs/>
          <w:lang w:val="fr-CA" w:eastAsia="en-US"/>
        </w:rPr>
      </w:pPr>
      <w:r w:rsidRPr="00F21E90">
        <w:rPr>
          <w:b/>
          <w:bCs/>
          <w:i/>
          <w:iCs/>
          <w:lang w:val="fr-FR"/>
        </w:rPr>
        <w:lastRenderedPageBreak/>
        <w:t>MISSION PERMANENTE DU MEXIQUE</w:t>
      </w:r>
    </w:p>
    <w:p w14:paraId="71AACA0F" w14:textId="77777777" w:rsidR="00F21E90" w:rsidRPr="00F21E90" w:rsidRDefault="00F21E90" w:rsidP="00F21E90">
      <w:pPr>
        <w:jc w:val="center"/>
        <w:rPr>
          <w:b/>
          <w:bCs/>
          <w:i/>
          <w:iCs/>
          <w:lang w:val="fr-FR"/>
        </w:rPr>
      </w:pPr>
      <w:r w:rsidRPr="00F21E90">
        <w:rPr>
          <w:b/>
          <w:bCs/>
          <w:i/>
          <w:iCs/>
          <w:lang w:val="fr-FR"/>
        </w:rPr>
        <w:t>PRÈS L’ORGANISATION DES ÉTATS AMÉRICAINS</w:t>
      </w:r>
    </w:p>
    <w:p w14:paraId="40168B2C" w14:textId="77777777" w:rsidR="00F21E90" w:rsidRPr="00F21E90" w:rsidRDefault="00F21E90" w:rsidP="00F21E90">
      <w:pPr>
        <w:rPr>
          <w:lang w:val="fr-FR"/>
        </w:rPr>
      </w:pPr>
    </w:p>
    <w:p w14:paraId="3BE5FC37" w14:textId="77777777" w:rsidR="00F21E90" w:rsidRPr="00F21E90" w:rsidRDefault="00F21E90" w:rsidP="00F21E90">
      <w:pPr>
        <w:rPr>
          <w:lang w:val="fr-FR"/>
        </w:rPr>
      </w:pPr>
    </w:p>
    <w:p w14:paraId="01098CAC" w14:textId="77777777" w:rsidR="00F21E90" w:rsidRPr="00F21E90" w:rsidRDefault="00F21E90" w:rsidP="00F21E90">
      <w:pPr>
        <w:rPr>
          <w:lang w:val="fr-FR"/>
        </w:rPr>
      </w:pPr>
    </w:p>
    <w:p w14:paraId="666648EC" w14:textId="77777777" w:rsidR="00F21E90" w:rsidRPr="00F21E90" w:rsidRDefault="00F21E90" w:rsidP="00F21E90">
      <w:pPr>
        <w:rPr>
          <w:lang w:val="fr-FR"/>
        </w:rPr>
      </w:pPr>
    </w:p>
    <w:p w14:paraId="7D08668A" w14:textId="77777777" w:rsidR="00F21E90" w:rsidRPr="00F21E90" w:rsidRDefault="00F21E90" w:rsidP="00F21E90">
      <w:pPr>
        <w:jc w:val="right"/>
        <w:rPr>
          <w:lang w:val="fr-FR"/>
        </w:rPr>
      </w:pPr>
      <w:r w:rsidRPr="00F21E90">
        <w:rPr>
          <w:lang w:val="fr-FR"/>
        </w:rPr>
        <w:t>No. OEA3754</w:t>
      </w:r>
    </w:p>
    <w:p w14:paraId="4652BB83" w14:textId="77777777" w:rsidR="00F21E90" w:rsidRPr="00F21E90" w:rsidRDefault="00F21E90" w:rsidP="00F21E90">
      <w:pPr>
        <w:jc w:val="right"/>
        <w:rPr>
          <w:lang w:val="fr-FR"/>
        </w:rPr>
      </w:pPr>
      <w:r w:rsidRPr="00F21E90">
        <w:rPr>
          <w:lang w:val="fr-FR"/>
        </w:rPr>
        <w:t>Exp.2.2.0.3</w:t>
      </w:r>
    </w:p>
    <w:p w14:paraId="6EF06256" w14:textId="77777777" w:rsidR="00F21E90" w:rsidRPr="00F21E90" w:rsidRDefault="00F21E90" w:rsidP="00F21E90">
      <w:pPr>
        <w:rPr>
          <w:lang w:val="fr-FR"/>
        </w:rPr>
      </w:pPr>
    </w:p>
    <w:p w14:paraId="16F95D9A" w14:textId="77777777" w:rsidR="00F21E90" w:rsidRPr="00F21E90" w:rsidRDefault="00F21E90" w:rsidP="00F21E90">
      <w:pPr>
        <w:rPr>
          <w:lang w:val="fr-FR"/>
        </w:rPr>
      </w:pPr>
    </w:p>
    <w:p w14:paraId="7788A732" w14:textId="77777777" w:rsidR="00F21E90" w:rsidRPr="00F21E90" w:rsidRDefault="00F21E90" w:rsidP="00F21E90">
      <w:pPr>
        <w:ind w:firstLine="720"/>
        <w:rPr>
          <w:lang w:val="fr-FR"/>
        </w:rPr>
      </w:pPr>
      <w:r w:rsidRPr="00F21E90">
        <w:rPr>
          <w:lang w:val="fr-FR"/>
        </w:rPr>
        <w:t>La Mission permanente du Mexique près l’Organisation des États Américains présente ses compliments à la présidence de l’Assemblée générale et a l’honneur de se référer au rapport du Secrétaire général sur les pouvoirs des délégations participant à la Cinquante-et-unième Session ordinaire de l’Assemblée générale de l’Organisation ainsi qu’aux actes et documents émanant de cette session ordinaire.</w:t>
      </w:r>
    </w:p>
    <w:p w14:paraId="50832997" w14:textId="77777777" w:rsidR="00F21E90" w:rsidRPr="00F21E90" w:rsidRDefault="00F21E90" w:rsidP="00F21E90">
      <w:pPr>
        <w:rPr>
          <w:lang w:val="fr-FR"/>
        </w:rPr>
      </w:pPr>
    </w:p>
    <w:p w14:paraId="52DF6C95" w14:textId="77777777" w:rsidR="00F21E90" w:rsidRPr="00F21E90" w:rsidRDefault="00F21E90" w:rsidP="00F21E90">
      <w:pPr>
        <w:ind w:firstLine="720"/>
        <w:rPr>
          <w:lang w:val="fr-FR"/>
        </w:rPr>
      </w:pPr>
      <w:r w:rsidRPr="00F21E90">
        <w:rPr>
          <w:lang w:val="fr-FR"/>
        </w:rPr>
        <w:t xml:space="preserve">À cet égard, à titre de suivi de ce qu’avait annoncé la Délégation du Mexique lors de l’examen du point 4 de l’ordre du jour de l’Assemblée générale,  «Rapport du Secrétaire général sur les pouvoirs », le 11 novembre 2021, la Mission souhaite inclure dans le Rapport du Secrétaire général sur les pouvoirs et dans tous les actes et documents émanés de la Cinquante-et-unième Session ordinaire de la session de l’Assemblée générale une note en bas de page avec le texte qui figure ci-joint à cette note. </w:t>
      </w:r>
    </w:p>
    <w:p w14:paraId="60556B17" w14:textId="77777777" w:rsidR="00F21E90" w:rsidRPr="00F21E90" w:rsidRDefault="00F21E90" w:rsidP="00F21E90">
      <w:pPr>
        <w:rPr>
          <w:lang w:val="fr-FR"/>
        </w:rPr>
      </w:pPr>
    </w:p>
    <w:p w14:paraId="47FA3ED3" w14:textId="77777777" w:rsidR="00F21E90" w:rsidRPr="00F21E90" w:rsidRDefault="00F21E90" w:rsidP="00F21E90">
      <w:pPr>
        <w:ind w:firstLine="720"/>
        <w:rPr>
          <w:lang w:val="fr-FR"/>
        </w:rPr>
      </w:pPr>
      <w:r w:rsidRPr="00F21E90">
        <w:rPr>
          <w:lang w:val="fr-FR"/>
        </w:rPr>
        <w:t>La Mission permanente du Mexique près l’Organisation des États Américains saisit cette occasion pour renouveler à la présidence de l’Assemblée générale les assurances de sa très haute considération.</w:t>
      </w:r>
    </w:p>
    <w:p w14:paraId="66490CF3" w14:textId="77777777" w:rsidR="00F21E90" w:rsidRPr="00F21E90" w:rsidRDefault="00F21E90" w:rsidP="00F21E90">
      <w:pPr>
        <w:rPr>
          <w:lang w:val="fr-FR"/>
        </w:rPr>
      </w:pPr>
    </w:p>
    <w:p w14:paraId="1B82C07D" w14:textId="77777777" w:rsidR="00F21E90" w:rsidRPr="00F21E90" w:rsidRDefault="00F21E90" w:rsidP="00F21E90">
      <w:pPr>
        <w:jc w:val="right"/>
        <w:rPr>
          <w:lang w:val="fr-FR"/>
        </w:rPr>
      </w:pPr>
      <w:r w:rsidRPr="00F21E90">
        <w:rPr>
          <w:lang w:val="fr-FR"/>
        </w:rPr>
        <w:t>Washington, D.C. 11 novembre 2021</w:t>
      </w:r>
    </w:p>
    <w:p w14:paraId="021F38B5" w14:textId="77777777" w:rsidR="00F21E90" w:rsidRPr="00F21E90" w:rsidRDefault="00F21E90" w:rsidP="00F21E90">
      <w:pPr>
        <w:rPr>
          <w:lang w:val="fr-FR"/>
        </w:rPr>
      </w:pPr>
    </w:p>
    <w:p w14:paraId="02CF1B33" w14:textId="77777777" w:rsidR="00F21E90" w:rsidRPr="00F21E90" w:rsidRDefault="00F21E90" w:rsidP="00F21E90">
      <w:pPr>
        <w:rPr>
          <w:lang w:val="fr-FR"/>
        </w:rPr>
      </w:pPr>
    </w:p>
    <w:p w14:paraId="5E5323C8" w14:textId="77777777" w:rsidR="00F21E90" w:rsidRPr="00F21E90" w:rsidRDefault="00F21E90" w:rsidP="00F21E90">
      <w:pPr>
        <w:rPr>
          <w:lang w:val="fr-FR"/>
        </w:rPr>
      </w:pPr>
    </w:p>
    <w:p w14:paraId="36909F98" w14:textId="77777777" w:rsidR="00F21E90" w:rsidRPr="00F21E90" w:rsidRDefault="00F21E90" w:rsidP="00F21E90">
      <w:pPr>
        <w:rPr>
          <w:lang w:val="fr-FR"/>
        </w:rPr>
      </w:pPr>
    </w:p>
    <w:p w14:paraId="65476AA6" w14:textId="77777777" w:rsidR="00F21E90" w:rsidRPr="00F21E90" w:rsidRDefault="00F21E90" w:rsidP="00F21E90">
      <w:pPr>
        <w:rPr>
          <w:lang w:val="fr-FR"/>
        </w:rPr>
      </w:pPr>
    </w:p>
    <w:p w14:paraId="7FD359BD" w14:textId="77777777" w:rsidR="00F21E90" w:rsidRPr="00F21E90" w:rsidRDefault="00F21E90" w:rsidP="00F21E90">
      <w:pPr>
        <w:rPr>
          <w:lang w:val="fr-FR"/>
        </w:rPr>
      </w:pPr>
    </w:p>
    <w:p w14:paraId="6A269607" w14:textId="77777777" w:rsidR="00F21E90" w:rsidRPr="00F21E90" w:rsidRDefault="00F21E90" w:rsidP="00F21E90">
      <w:pPr>
        <w:rPr>
          <w:lang w:val="fr-FR"/>
        </w:rPr>
      </w:pPr>
      <w:r w:rsidRPr="00F21E90">
        <w:rPr>
          <w:lang w:val="fr-FR"/>
        </w:rPr>
        <w:t>À la présidence de l’Assemblée générale</w:t>
      </w:r>
    </w:p>
    <w:p w14:paraId="655679CF" w14:textId="77777777" w:rsidR="00F21E90" w:rsidRPr="00F21E90" w:rsidRDefault="00F21E90" w:rsidP="00F21E90">
      <w:pPr>
        <w:rPr>
          <w:lang w:val="fr-FR"/>
        </w:rPr>
      </w:pPr>
      <w:r w:rsidRPr="00F21E90">
        <w:rPr>
          <w:lang w:val="fr-FR"/>
        </w:rPr>
        <w:t xml:space="preserve">Cinquante-et-unième Session ordinaire </w:t>
      </w:r>
    </w:p>
    <w:p w14:paraId="418BF049" w14:textId="77777777" w:rsidR="00F21E90" w:rsidRPr="00F21E90" w:rsidRDefault="00F21E90" w:rsidP="00F21E90">
      <w:pPr>
        <w:rPr>
          <w:lang w:val="fr-FR"/>
        </w:rPr>
      </w:pPr>
      <w:r w:rsidRPr="00F21E90">
        <w:rPr>
          <w:shd w:val="clear" w:color="auto" w:fill="FFFFFF"/>
          <w:lang w:val="fr-FR"/>
        </w:rPr>
        <w:t>Organisation</w:t>
      </w:r>
      <w:r w:rsidRPr="00F21E90">
        <w:rPr>
          <w:b/>
          <w:bCs/>
          <w:color w:val="666666"/>
          <w:shd w:val="clear" w:color="auto" w:fill="FFFFFF"/>
          <w:lang w:val="fr-FR"/>
        </w:rPr>
        <w:t xml:space="preserve"> </w:t>
      </w:r>
      <w:r w:rsidRPr="00F21E90">
        <w:rPr>
          <w:lang w:val="fr-FR"/>
        </w:rPr>
        <w:t>des États Américains</w:t>
      </w:r>
    </w:p>
    <w:p w14:paraId="308E048D" w14:textId="77777777" w:rsidR="00F21E90" w:rsidRPr="00F21E90" w:rsidRDefault="00F21E90" w:rsidP="00F21E90">
      <w:pPr>
        <w:rPr>
          <w:lang w:val="fr-FR"/>
        </w:rPr>
      </w:pPr>
      <w:r w:rsidRPr="00F21E90">
        <w:rPr>
          <w:lang w:val="fr-FR"/>
        </w:rPr>
        <w:t xml:space="preserve">Washington D.C. </w:t>
      </w:r>
    </w:p>
    <w:p w14:paraId="53515B81" w14:textId="77777777" w:rsidR="00F21E90" w:rsidRPr="00F21E90" w:rsidRDefault="00F21E90" w:rsidP="00F21E90">
      <w:pPr>
        <w:rPr>
          <w:lang w:val="fr-FR"/>
        </w:rPr>
        <w:sectPr w:rsidR="00F21E90" w:rsidRPr="00F21E90" w:rsidSect="00F21E90">
          <w:type w:val="oddPage"/>
          <w:pgSz w:w="12240" w:h="15840"/>
          <w:pgMar w:top="2160" w:right="1570" w:bottom="1296" w:left="1699" w:header="1296" w:footer="1296" w:gutter="0"/>
          <w:cols w:space="720"/>
        </w:sectPr>
      </w:pPr>
    </w:p>
    <w:p w14:paraId="73304C3C" w14:textId="77777777" w:rsidR="00F21E90" w:rsidRPr="00F21E90" w:rsidRDefault="00F21E90" w:rsidP="00F21E90">
      <w:pPr>
        <w:jc w:val="center"/>
        <w:rPr>
          <w:lang w:val="fr-FR"/>
        </w:rPr>
      </w:pPr>
      <w:r w:rsidRPr="00F21E90">
        <w:rPr>
          <w:lang w:val="fr-FR"/>
        </w:rPr>
        <w:lastRenderedPageBreak/>
        <w:t>Annexe</w:t>
      </w:r>
    </w:p>
    <w:p w14:paraId="1EE99AFA" w14:textId="77777777" w:rsidR="00F21E90" w:rsidRPr="00F21E90" w:rsidRDefault="00F21E90" w:rsidP="00F21E90">
      <w:pPr>
        <w:rPr>
          <w:lang w:val="fr-FR"/>
        </w:rPr>
      </w:pPr>
    </w:p>
    <w:p w14:paraId="02EB21FF" w14:textId="77777777" w:rsidR="00F21E90" w:rsidRPr="00F21E90" w:rsidRDefault="00F21E90" w:rsidP="00F21E90">
      <w:pPr>
        <w:rPr>
          <w:lang w:val="fr-FR"/>
        </w:rPr>
      </w:pPr>
    </w:p>
    <w:p w14:paraId="1183D775" w14:textId="77777777" w:rsidR="00F21E90" w:rsidRPr="00F21E90" w:rsidRDefault="00F21E90" w:rsidP="00F21E90">
      <w:pPr>
        <w:ind w:firstLine="720"/>
        <w:rPr>
          <w:lang w:val="fr-FR"/>
        </w:rPr>
      </w:pPr>
      <w:r w:rsidRPr="00F21E90">
        <w:rPr>
          <w:lang w:val="fr-FR"/>
        </w:rPr>
        <w:t>Le Mexique relève avec préoccupation une fois de plus, des inconsistances et des irrégularités dans le Rapport du Secrétaire général sur la présentation des pouvoirs des délégations participant à la Cinquante-et-unième Session ordinaire de l’Assemblée générale de l’Organisation des États Américains (OEA), lesquelles constituent des actes contraires au droit international.</w:t>
      </w:r>
    </w:p>
    <w:p w14:paraId="09ED503E" w14:textId="77777777" w:rsidR="00F21E90" w:rsidRPr="00F21E90" w:rsidRDefault="00F21E90" w:rsidP="00F21E90">
      <w:pPr>
        <w:rPr>
          <w:lang w:val="fr-FR"/>
        </w:rPr>
      </w:pPr>
    </w:p>
    <w:p w14:paraId="702C0F7F" w14:textId="77777777" w:rsidR="00F21E90" w:rsidRPr="00F21E90" w:rsidRDefault="00F21E90" w:rsidP="00F21E90">
      <w:pPr>
        <w:ind w:firstLine="720"/>
        <w:rPr>
          <w:lang w:val="fr-FR"/>
        </w:rPr>
      </w:pPr>
      <w:r w:rsidRPr="00F21E90">
        <w:rPr>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655B6515" w14:textId="77777777" w:rsidR="00F21E90" w:rsidRPr="00F21E90" w:rsidRDefault="00F21E90" w:rsidP="00F21E90">
      <w:pPr>
        <w:rPr>
          <w:lang w:val="fr-FR"/>
        </w:rPr>
      </w:pPr>
    </w:p>
    <w:p w14:paraId="7E41D0D5" w14:textId="77777777" w:rsidR="00F21E90" w:rsidRPr="00F21E90" w:rsidRDefault="00F21E90" w:rsidP="00F21E90">
      <w:pPr>
        <w:ind w:firstLine="720"/>
        <w:rPr>
          <w:lang w:val="fr-FR"/>
        </w:rPr>
      </w:pPr>
      <w:r w:rsidRPr="00F21E90">
        <w:rPr>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DF58566" w14:textId="77777777" w:rsidR="00F21E90" w:rsidRPr="00F21E90" w:rsidRDefault="00F21E90" w:rsidP="00F21E90">
      <w:pPr>
        <w:rPr>
          <w:lang w:val="fr-FR"/>
        </w:rPr>
      </w:pPr>
    </w:p>
    <w:p w14:paraId="0F0B6403" w14:textId="77777777" w:rsidR="00F21E90" w:rsidRPr="00F21E90" w:rsidRDefault="00F21E90" w:rsidP="00F21E90">
      <w:pPr>
        <w:ind w:firstLine="720"/>
        <w:rPr>
          <w:lang w:val="fr-FR"/>
        </w:rPr>
      </w:pPr>
      <w:r w:rsidRPr="00F21E90">
        <w:rPr>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F21E90">
        <w:rPr>
          <w:lang w:val="fr-FR"/>
        </w:rPr>
        <w:t>membre;</w:t>
      </w:r>
      <w:proofErr w:type="gramEnd"/>
      <w:r w:rsidRPr="00F21E90">
        <w:rPr>
          <w:lang w:val="fr-FR"/>
        </w:rPr>
        <w:t xml:space="preserve"> c’est pourquoi tout acte visant à atteindre cet objectif tombe en dehors de sa compétence et est matériellement nul.</w:t>
      </w:r>
    </w:p>
    <w:p w14:paraId="43088548" w14:textId="77777777" w:rsidR="00F21E90" w:rsidRPr="00F21E90" w:rsidRDefault="00F21E90" w:rsidP="00F21E90">
      <w:pPr>
        <w:rPr>
          <w:lang w:val="fr-FR"/>
        </w:rPr>
      </w:pPr>
    </w:p>
    <w:p w14:paraId="38EDEBDB" w14:textId="77777777" w:rsidR="00F21E90" w:rsidRPr="00F21E90" w:rsidRDefault="00F21E90" w:rsidP="00F21E90">
      <w:pPr>
        <w:ind w:firstLine="720"/>
        <w:rPr>
          <w:lang w:val="fr-FR"/>
        </w:rPr>
      </w:pPr>
      <w:r w:rsidRPr="00F21E90">
        <w:rPr>
          <w:lang w:val="fr-FR"/>
        </w:rPr>
        <w:t xml:space="preserve">Par conséquent, tant que toute personne demeure accréditée en qualité de représentant de la République bolivarienne du Venezuela près l’OEA sur la base d’actes </w:t>
      </w:r>
      <w:r w:rsidRPr="00F21E90">
        <w:rPr>
          <w:i/>
          <w:iCs/>
          <w:lang w:val="fr-FR"/>
        </w:rPr>
        <w:t>ultra vires</w:t>
      </w:r>
      <w:r w:rsidRPr="00F21E90">
        <w:rPr>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1A7DFC17" w14:textId="77777777" w:rsidR="00F21E90" w:rsidRPr="00F21E90" w:rsidRDefault="00F21E90" w:rsidP="00F21E90">
      <w:pPr>
        <w:rPr>
          <w:lang w:val="fr-FR"/>
        </w:rPr>
      </w:pPr>
    </w:p>
    <w:p w14:paraId="6E3CB56D" w14:textId="77777777" w:rsidR="00F21E90" w:rsidRPr="00F21E90" w:rsidRDefault="00F21E90" w:rsidP="00F21E90">
      <w:pPr>
        <w:ind w:firstLine="720"/>
        <w:rPr>
          <w:lang w:val="fr-FR"/>
        </w:rPr>
      </w:pPr>
      <w:r w:rsidRPr="00F21E90">
        <w:rPr>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2A0903D8" w14:textId="77777777" w:rsidR="00F21E90" w:rsidRPr="00F21E90" w:rsidRDefault="00F21E90" w:rsidP="00F21E90">
      <w:pPr>
        <w:rPr>
          <w:lang w:val="fr-FR"/>
        </w:rPr>
      </w:pPr>
    </w:p>
    <w:p w14:paraId="36E54904" w14:textId="4B087100" w:rsidR="00F21E90" w:rsidRPr="00F21E90" w:rsidRDefault="00F21E90" w:rsidP="00F21E90">
      <w:pPr>
        <w:ind w:firstLine="720"/>
        <w:rPr>
          <w:lang w:val="fr-FR"/>
        </w:rPr>
      </w:pPr>
      <w:r w:rsidRPr="00F21E90">
        <w:rPr>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r>
        <w:rPr>
          <w:rFonts w:asciiTheme="minorHAnsi" w:hAnsiTheme="minorHAnsi" w:cstheme="minorBidi"/>
          <w:noProof/>
        </w:rPr>
        <mc:AlternateContent>
          <mc:Choice Requires="wps">
            <w:drawing>
              <wp:anchor distT="0" distB="0" distL="114300" distR="114300" simplePos="0" relativeHeight="251665408" behindDoc="0" locked="1" layoutInCell="1" allowOverlap="1" wp14:anchorId="7D3B1881" wp14:editId="010C2C3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280BB7" w14:textId="03FC8BEF" w:rsidR="00F21E90" w:rsidRDefault="00F21E90" w:rsidP="00F21E90">
                            <w:pPr>
                              <w:rPr>
                                <w:sz w:val="18"/>
                              </w:rPr>
                            </w:pPr>
                            <w:r>
                              <w:rPr>
                                <w:sz w:val="18"/>
                              </w:rPr>
                              <w:fldChar w:fldCharType="begin"/>
                            </w:r>
                            <w:r>
                              <w:rPr>
                                <w:sz w:val="18"/>
                              </w:rPr>
                              <w:instrText xml:space="preserve"> FILENAME  \* MERGEFORMAT </w:instrText>
                            </w:r>
                            <w:r>
                              <w:rPr>
                                <w:sz w:val="18"/>
                              </w:rPr>
                              <w:fldChar w:fldCharType="separate"/>
                            </w:r>
                            <w:r w:rsidR="00DA5C56">
                              <w:rPr>
                                <w:noProof/>
                                <w:sz w:val="18"/>
                              </w:rPr>
                              <w:t>AG08438F01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3B188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7WgQIAAAEFAAAOAAAAZHJzL2Uyb0RvYy54bWysVF1P2zAUfZ+0/2D5faRNgZ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PODrtaB&#10;AgAAAQUAAA4AAAAAAAAAAAAAAAAALgIAAGRycy9lMm9Eb2MueG1sUEsBAi0AFAAGAAgAAAAhAKIi&#10;Y4/eAAAADQEAAA8AAAAAAAAAAAAAAAAA2wQAAGRycy9kb3ducmV2LnhtbFBLBQYAAAAABAAEAPMA&#10;AADmBQAAAAA=&#10;" filled="f" stroked="f">
                <v:stroke joinstyle="round"/>
                <v:textbox>
                  <w:txbxContent>
                    <w:p w14:paraId="5F280BB7" w14:textId="03FC8BEF" w:rsidR="00F21E90" w:rsidRDefault="00F21E90" w:rsidP="00F21E90">
                      <w:pPr>
                        <w:rPr>
                          <w:sz w:val="18"/>
                        </w:rPr>
                      </w:pPr>
                      <w:r>
                        <w:rPr>
                          <w:sz w:val="18"/>
                        </w:rPr>
                        <w:fldChar w:fldCharType="begin"/>
                      </w:r>
                      <w:r>
                        <w:rPr>
                          <w:sz w:val="18"/>
                        </w:rPr>
                        <w:instrText xml:space="preserve"> FILENAME  \* MERGEFORMAT </w:instrText>
                      </w:r>
                      <w:r>
                        <w:rPr>
                          <w:sz w:val="18"/>
                        </w:rPr>
                        <w:fldChar w:fldCharType="separate"/>
                      </w:r>
                      <w:r w:rsidR="00DA5C56">
                        <w:rPr>
                          <w:noProof/>
                          <w:sz w:val="18"/>
                        </w:rPr>
                        <w:t>AG08438F01</w:t>
                      </w:r>
                      <w:r>
                        <w:rPr>
                          <w:sz w:val="18"/>
                        </w:rPr>
                        <w:fldChar w:fldCharType="end"/>
                      </w:r>
                    </w:p>
                  </w:txbxContent>
                </v:textbox>
                <w10:wrap anchory="page"/>
                <w10:anchorlock/>
              </v:shape>
            </w:pict>
          </mc:Fallback>
        </mc:AlternateContent>
      </w:r>
    </w:p>
    <w:p w14:paraId="209A3AF0" w14:textId="19975A5F" w:rsidR="001E384A" w:rsidRPr="002E0971" w:rsidRDefault="00643130" w:rsidP="008B4565">
      <w:pPr>
        <w:widowControl/>
        <w:ind w:right="-929"/>
        <w:jc w:val="center"/>
        <w:rPr>
          <w:szCs w:val="22"/>
          <w:lang w:val="fr-FR"/>
        </w:rPr>
      </w:pPr>
      <w:r>
        <w:rPr>
          <w:noProof/>
        </w:rPr>
        <w:drawing>
          <wp:anchor distT="0" distB="0" distL="114300" distR="114300" simplePos="0" relativeHeight="251666432" behindDoc="0" locked="0" layoutInCell="1" allowOverlap="1" wp14:anchorId="5E729FF6" wp14:editId="2933AE9D">
            <wp:simplePos x="0" y="0"/>
            <wp:positionH relativeFrom="column">
              <wp:posOffset>4950460</wp:posOffset>
            </wp:positionH>
            <wp:positionV relativeFrom="paragraph">
              <wp:posOffset>294640</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384A" w:rsidRPr="002E0971" w:rsidSect="00091F82">
      <w:type w:val="oddPage"/>
      <w:pgSz w:w="12240" w:h="15840" w:code="1"/>
      <w:pgMar w:top="2160" w:right="157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74"/>
    <w:rsid w:val="00091F82"/>
    <w:rsid w:val="001827A3"/>
    <w:rsid w:val="001E384A"/>
    <w:rsid w:val="00285DFB"/>
    <w:rsid w:val="002E0971"/>
    <w:rsid w:val="00643130"/>
    <w:rsid w:val="006D79E4"/>
    <w:rsid w:val="00777F5E"/>
    <w:rsid w:val="008815AC"/>
    <w:rsid w:val="008B4565"/>
    <w:rsid w:val="00C4374B"/>
    <w:rsid w:val="00CE662B"/>
    <w:rsid w:val="00DA5C56"/>
    <w:rsid w:val="00DE5F74"/>
    <w:rsid w:val="00F2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0F2FA3"/>
  <w15:chartTrackingRefBased/>
  <w15:docId w15:val="{C63BBB6A-ED8F-4D7B-8176-9721CE28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7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AC"/>
    <w:rPr>
      <w:color w:val="0563C1" w:themeColor="hyperlink"/>
      <w:u w:val="single"/>
    </w:rPr>
  </w:style>
  <w:style w:type="character" w:styleId="UnresolvedMention">
    <w:name w:val="Unresolved Mention"/>
    <w:basedOn w:val="DefaultParagraphFont"/>
    <w:uiPriority w:val="99"/>
    <w:semiHidden/>
    <w:unhideWhenUsed/>
    <w:rsid w:val="008815AC"/>
    <w:rPr>
      <w:color w:val="605E5C"/>
      <w:shd w:val="clear" w:color="auto" w:fill="E1DFDD"/>
    </w:rPr>
  </w:style>
  <w:style w:type="character" w:styleId="FollowedHyperlink">
    <w:name w:val="FollowedHyperlink"/>
    <w:basedOn w:val="DefaultParagraphFont"/>
    <w:uiPriority w:val="99"/>
    <w:semiHidden/>
    <w:unhideWhenUsed/>
    <w:rsid w:val="008B4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0740">
      <w:bodyDiv w:val="1"/>
      <w:marLeft w:val="0"/>
      <w:marRight w:val="0"/>
      <w:marTop w:val="0"/>
      <w:marBottom w:val="0"/>
      <w:divBdr>
        <w:top w:val="none" w:sz="0" w:space="0" w:color="auto"/>
        <w:left w:val="none" w:sz="0" w:space="0" w:color="auto"/>
        <w:bottom w:val="none" w:sz="0" w:space="0" w:color="auto"/>
        <w:right w:val="none" w:sz="0" w:space="0" w:color="auto"/>
      </w:divBdr>
    </w:div>
    <w:div w:id="585071487">
      <w:bodyDiv w:val="1"/>
      <w:marLeft w:val="0"/>
      <w:marRight w:val="0"/>
      <w:marTop w:val="0"/>
      <w:marBottom w:val="0"/>
      <w:divBdr>
        <w:top w:val="none" w:sz="0" w:space="0" w:color="auto"/>
        <w:left w:val="none" w:sz="0" w:space="0" w:color="auto"/>
        <w:bottom w:val="none" w:sz="0" w:space="0" w:color="auto"/>
        <w:right w:val="none" w:sz="0" w:space="0" w:color="auto"/>
      </w:divBdr>
    </w:div>
    <w:div w:id="1121654645">
      <w:bodyDiv w:val="1"/>
      <w:marLeft w:val="0"/>
      <w:marRight w:val="0"/>
      <w:marTop w:val="0"/>
      <w:marBottom w:val="0"/>
      <w:divBdr>
        <w:top w:val="none" w:sz="0" w:space="0" w:color="auto"/>
        <w:left w:val="none" w:sz="0" w:space="0" w:color="auto"/>
        <w:bottom w:val="none" w:sz="0" w:space="0" w:color="auto"/>
        <w:right w:val="none" w:sz="0" w:space="0" w:color="auto"/>
      </w:divBdr>
    </w:div>
    <w:div w:id="1219895724">
      <w:bodyDiv w:val="1"/>
      <w:marLeft w:val="0"/>
      <w:marRight w:val="0"/>
      <w:marTop w:val="0"/>
      <w:marBottom w:val="0"/>
      <w:divBdr>
        <w:top w:val="none" w:sz="0" w:space="0" w:color="auto"/>
        <w:left w:val="none" w:sz="0" w:space="0" w:color="auto"/>
        <w:bottom w:val="none" w:sz="0" w:space="0" w:color="auto"/>
        <w:right w:val="none" w:sz="0" w:space="0" w:color="auto"/>
      </w:divBdr>
    </w:div>
    <w:div w:id="1350718170">
      <w:bodyDiv w:val="1"/>
      <w:marLeft w:val="0"/>
      <w:marRight w:val="0"/>
      <w:marTop w:val="0"/>
      <w:marBottom w:val="0"/>
      <w:divBdr>
        <w:top w:val="none" w:sz="0" w:space="0" w:color="auto"/>
        <w:left w:val="none" w:sz="0" w:space="0" w:color="auto"/>
        <w:bottom w:val="none" w:sz="0" w:space="0" w:color="auto"/>
        <w:right w:val="none" w:sz="0" w:space="0" w:color="auto"/>
      </w:divBdr>
    </w:div>
    <w:div w:id="19678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4</cp:revision>
  <dcterms:created xsi:type="dcterms:W3CDTF">2021-11-12T21:07:00Z</dcterms:created>
  <dcterms:modified xsi:type="dcterms:W3CDTF">2021-11-12T21:09:00Z</dcterms:modified>
</cp:coreProperties>
</file>